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B3" w:rsidRDefault="006B260F" w:rsidP="00E25CDF">
      <w:pPr>
        <w:pStyle w:val="Heading1"/>
      </w:pPr>
      <w:r w:rsidRPr="006B260F">
        <w:t>Participants</w:t>
      </w:r>
    </w:p>
    <w:p w:rsidR="00E25CDF" w:rsidRDefault="00E25CDF" w:rsidP="00E527B3">
      <w:pPr>
        <w:spacing w:after="0"/>
      </w:pPr>
      <w:r>
        <w:t>AG members in person at the meeting</w:t>
      </w:r>
    </w:p>
    <w:p w:rsidR="00E25CDF" w:rsidRDefault="00E25CDF" w:rsidP="00E25CDF">
      <w:pPr>
        <w:pStyle w:val="ListParagraph"/>
        <w:numPr>
          <w:ilvl w:val="0"/>
          <w:numId w:val="18"/>
        </w:numPr>
        <w:spacing w:after="0"/>
        <w:sectPr w:rsidR="00E25CD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5CDF" w:rsidRDefault="00E25CDF" w:rsidP="00E25CDF">
      <w:pPr>
        <w:pStyle w:val="ListParagraph"/>
        <w:numPr>
          <w:ilvl w:val="0"/>
          <w:numId w:val="18"/>
        </w:numPr>
        <w:spacing w:after="0"/>
      </w:pPr>
      <w:r>
        <w:t>Avangrid – Lori Cole</w:t>
      </w:r>
      <w:r w:rsidRPr="003E2FDA">
        <w:t xml:space="preserve"> </w:t>
      </w:r>
    </w:p>
    <w:p w:rsidR="00E25CDF" w:rsidRDefault="00E25CDF" w:rsidP="00E25CDF">
      <w:pPr>
        <w:pStyle w:val="ListParagraph"/>
        <w:numPr>
          <w:ilvl w:val="0"/>
          <w:numId w:val="18"/>
        </w:numPr>
        <w:spacing w:after="0"/>
      </w:pPr>
      <w:r>
        <w:t>Central Hudson – John Borchert</w:t>
      </w:r>
    </w:p>
    <w:p w:rsidR="00E25CDF" w:rsidRDefault="00E25CDF" w:rsidP="00E25CDF">
      <w:pPr>
        <w:pStyle w:val="ListParagraph"/>
        <w:numPr>
          <w:ilvl w:val="0"/>
          <w:numId w:val="18"/>
        </w:numPr>
        <w:spacing w:after="0"/>
      </w:pPr>
      <w:r>
        <w:t>City of NY – Anthony Fiore</w:t>
      </w:r>
    </w:p>
    <w:p w:rsidR="00E25CDF" w:rsidRDefault="00E25CDF" w:rsidP="00E25CDF">
      <w:pPr>
        <w:pStyle w:val="ListParagraph"/>
        <w:numPr>
          <w:ilvl w:val="0"/>
          <w:numId w:val="18"/>
        </w:numPr>
        <w:spacing w:after="0"/>
      </w:pPr>
      <w:r>
        <w:t>Con Edison / O&amp;R – Tom Mimnagh, Damian Sciano</w:t>
      </w:r>
    </w:p>
    <w:p w:rsidR="00E25CDF" w:rsidRDefault="00E25CDF" w:rsidP="00E25CDF">
      <w:pPr>
        <w:pStyle w:val="ListParagraph"/>
        <w:numPr>
          <w:ilvl w:val="0"/>
          <w:numId w:val="18"/>
        </w:numPr>
        <w:spacing w:after="0"/>
      </w:pPr>
      <w:r>
        <w:t>Direct Energy – Angela Schorr</w:t>
      </w:r>
    </w:p>
    <w:p w:rsidR="00E25CDF" w:rsidRDefault="00E25CDF" w:rsidP="00E25CDF">
      <w:pPr>
        <w:pStyle w:val="ListParagraph"/>
        <w:numPr>
          <w:ilvl w:val="0"/>
          <w:numId w:val="18"/>
        </w:numPr>
        <w:spacing w:after="0"/>
      </w:pPr>
      <w:r>
        <w:t>EnerNOC – Greg Geller</w:t>
      </w:r>
    </w:p>
    <w:p w:rsidR="00E25CDF" w:rsidRDefault="00E25CDF" w:rsidP="00E25CDF">
      <w:pPr>
        <w:pStyle w:val="ListParagraph"/>
        <w:numPr>
          <w:ilvl w:val="0"/>
          <w:numId w:val="18"/>
        </w:numPr>
        <w:spacing w:after="0"/>
      </w:pPr>
      <w:r>
        <w:t>Environmental Defense Fund – Ronny Sandoval</w:t>
      </w:r>
    </w:p>
    <w:p w:rsidR="00E25CDF" w:rsidRDefault="00E25CDF" w:rsidP="00E25CDF">
      <w:pPr>
        <w:pStyle w:val="ListParagraph"/>
        <w:numPr>
          <w:ilvl w:val="0"/>
          <w:numId w:val="18"/>
        </w:numPr>
        <w:spacing w:after="0"/>
      </w:pPr>
      <w:r>
        <w:t>National Grid – John Leana</w:t>
      </w:r>
    </w:p>
    <w:p w:rsidR="00E25CDF" w:rsidRDefault="00E25CDF" w:rsidP="00E25CDF">
      <w:pPr>
        <w:pStyle w:val="ListParagraph"/>
        <w:numPr>
          <w:ilvl w:val="0"/>
          <w:numId w:val="18"/>
        </w:numPr>
        <w:spacing w:after="0"/>
      </w:pPr>
      <w:r>
        <w:t>NRDC – Miles Farmer</w:t>
      </w:r>
    </w:p>
    <w:p w:rsidR="00E25CDF" w:rsidRDefault="00E25CDF" w:rsidP="00E25CDF">
      <w:pPr>
        <w:pStyle w:val="ListParagraph"/>
        <w:numPr>
          <w:ilvl w:val="0"/>
          <w:numId w:val="18"/>
        </w:numPr>
        <w:spacing w:after="0"/>
      </w:pPr>
      <w:r>
        <w:t>NRG Energy – Peter Fuller</w:t>
      </w:r>
    </w:p>
    <w:p w:rsidR="00E25CDF" w:rsidRDefault="00E25CDF" w:rsidP="00E25CDF">
      <w:pPr>
        <w:pStyle w:val="ListParagraph"/>
        <w:numPr>
          <w:ilvl w:val="0"/>
          <w:numId w:val="18"/>
        </w:numPr>
        <w:spacing w:after="0"/>
      </w:pPr>
      <w:r>
        <w:t>NY-BEST – Bill Acker</w:t>
      </w:r>
    </w:p>
    <w:p w:rsidR="00E25CDF" w:rsidRDefault="00E25CDF" w:rsidP="00E25CDF">
      <w:pPr>
        <w:pStyle w:val="ListParagraph"/>
        <w:numPr>
          <w:ilvl w:val="0"/>
          <w:numId w:val="18"/>
        </w:numPr>
        <w:spacing w:after="0"/>
      </w:pPr>
      <w:r>
        <w:t>NYDPS – Tammy Mitchell</w:t>
      </w:r>
    </w:p>
    <w:p w:rsidR="00E25CDF" w:rsidRDefault="00E25CDF" w:rsidP="00E25CDF">
      <w:pPr>
        <w:pStyle w:val="ListParagraph"/>
        <w:numPr>
          <w:ilvl w:val="0"/>
          <w:numId w:val="18"/>
        </w:numPr>
        <w:spacing w:after="0"/>
      </w:pPr>
      <w:r>
        <w:t>NYISO – Mike DeSocio</w:t>
      </w:r>
    </w:p>
    <w:p w:rsidR="00E25CDF" w:rsidRDefault="00E25CDF" w:rsidP="00E25CDF">
      <w:pPr>
        <w:pStyle w:val="ListParagraph"/>
        <w:numPr>
          <w:ilvl w:val="0"/>
          <w:numId w:val="18"/>
        </w:numPr>
        <w:spacing w:after="0"/>
      </w:pPr>
      <w:r>
        <w:t>NYPA – Sunny Joshi</w:t>
      </w:r>
    </w:p>
    <w:p w:rsidR="00E25CDF" w:rsidRDefault="00E25CDF" w:rsidP="00E527B3">
      <w:pPr>
        <w:pStyle w:val="ListParagraph"/>
        <w:numPr>
          <w:ilvl w:val="0"/>
          <w:numId w:val="18"/>
        </w:numPr>
        <w:spacing w:after="0"/>
        <w:sectPr w:rsidR="00E25CDF" w:rsidSect="00E25C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SolarCity – Carlos Gonzalez</w:t>
      </w:r>
    </w:p>
    <w:p w:rsidR="00E25CDF" w:rsidRDefault="00E25CDF" w:rsidP="00E527B3">
      <w:pPr>
        <w:spacing w:after="0"/>
        <w:sectPr w:rsidR="00E25CDF" w:rsidSect="00E25C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3241" w:rsidRDefault="00E25CDF" w:rsidP="00E25CDF">
      <w:pPr>
        <w:spacing w:after="0"/>
      </w:pPr>
      <w:r>
        <w:t>AG Members not represented at the meeting:</w:t>
      </w:r>
    </w:p>
    <w:p w:rsidR="00E25CDF" w:rsidRDefault="00E25CDF" w:rsidP="00E25CDF">
      <w:pPr>
        <w:pStyle w:val="ListParagraph"/>
        <w:numPr>
          <w:ilvl w:val="0"/>
          <w:numId w:val="19"/>
        </w:numPr>
        <w:spacing w:after="0"/>
      </w:pPr>
      <w:r>
        <w:t>Couch White LLC – Mike Mager</w:t>
      </w:r>
    </w:p>
    <w:p w:rsidR="00E25CDF" w:rsidRDefault="00E25CDF" w:rsidP="00E25CDF">
      <w:pPr>
        <w:pStyle w:val="ListParagraph"/>
        <w:numPr>
          <w:ilvl w:val="0"/>
          <w:numId w:val="19"/>
        </w:numPr>
        <w:spacing w:after="0"/>
      </w:pPr>
      <w:r>
        <w:t>Dept. of State Utility Intervention Unit (UIU) – Erin Hogan</w:t>
      </w:r>
    </w:p>
    <w:p w:rsidR="00E25CDF" w:rsidRDefault="00E25CDF" w:rsidP="00E25CDF">
      <w:pPr>
        <w:pStyle w:val="ListParagraph"/>
        <w:numPr>
          <w:ilvl w:val="0"/>
          <w:numId w:val="19"/>
        </w:numPr>
        <w:spacing w:after="0"/>
      </w:pPr>
      <w:r>
        <w:t>Direct Energy – Chris Kallaher</w:t>
      </w:r>
    </w:p>
    <w:p w:rsidR="00E25CDF" w:rsidRDefault="00E25CDF" w:rsidP="00E25CDF">
      <w:pPr>
        <w:pStyle w:val="ListParagraph"/>
        <w:numPr>
          <w:ilvl w:val="0"/>
          <w:numId w:val="19"/>
        </w:numPr>
        <w:spacing w:after="0"/>
      </w:pPr>
      <w:r>
        <w:t>Exelon – Chris Wentlent</w:t>
      </w:r>
    </w:p>
    <w:p w:rsidR="00E25CDF" w:rsidRDefault="00E25CDF" w:rsidP="00E25CDF">
      <w:pPr>
        <w:pStyle w:val="ListParagraph"/>
        <w:numPr>
          <w:ilvl w:val="0"/>
          <w:numId w:val="19"/>
        </w:numPr>
        <w:spacing w:after="0"/>
        <w:sectPr w:rsidR="00E25CDF" w:rsidSect="00A159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NYSERDA – John Saintcross</w:t>
      </w:r>
    </w:p>
    <w:p w:rsidR="00845B63" w:rsidRDefault="00845B63" w:rsidP="001F125A">
      <w:pPr>
        <w:spacing w:after="0"/>
      </w:pPr>
    </w:p>
    <w:p w:rsidR="000D3C76" w:rsidRDefault="00583241" w:rsidP="000D3C76">
      <w:pPr>
        <w:pStyle w:val="Heading1"/>
      </w:pPr>
      <w:r>
        <w:t>Agenda</w:t>
      </w:r>
    </w:p>
    <w:tbl>
      <w:tblPr>
        <w:tblStyle w:val="TableGrid"/>
        <w:tblW w:w="9593" w:type="dxa"/>
        <w:tblLook w:val="04A0" w:firstRow="1" w:lastRow="0" w:firstColumn="1" w:lastColumn="0" w:noHBand="0" w:noVBand="1"/>
      </w:tblPr>
      <w:tblGrid>
        <w:gridCol w:w="2172"/>
        <w:gridCol w:w="7421"/>
      </w:tblGrid>
      <w:tr w:rsidR="000D3C76" w:rsidTr="000D3C76">
        <w:trPr>
          <w:trHeight w:val="278"/>
        </w:trPr>
        <w:tc>
          <w:tcPr>
            <w:tcW w:w="2172" w:type="dxa"/>
          </w:tcPr>
          <w:p w:rsidR="000D3C76" w:rsidRPr="00817CA5" w:rsidRDefault="000D3C76" w:rsidP="000D3C76">
            <w:pPr>
              <w:rPr>
                <w:b/>
              </w:rPr>
            </w:pPr>
            <w:r w:rsidRPr="00817CA5">
              <w:rPr>
                <w:b/>
              </w:rPr>
              <w:t>Time</w:t>
            </w:r>
          </w:p>
        </w:tc>
        <w:tc>
          <w:tcPr>
            <w:tcW w:w="7421" w:type="dxa"/>
          </w:tcPr>
          <w:p w:rsidR="000D3C76" w:rsidRPr="00817CA5" w:rsidRDefault="000D3C76" w:rsidP="000D3C76">
            <w:pPr>
              <w:rPr>
                <w:b/>
              </w:rPr>
            </w:pPr>
            <w:r w:rsidRPr="00817CA5">
              <w:rPr>
                <w:b/>
              </w:rPr>
              <w:t>Topic</w:t>
            </w:r>
          </w:p>
        </w:tc>
      </w:tr>
      <w:tr w:rsidR="000D3C76" w:rsidTr="000D3C76">
        <w:trPr>
          <w:trHeight w:val="233"/>
        </w:trPr>
        <w:tc>
          <w:tcPr>
            <w:tcW w:w="2172" w:type="dxa"/>
          </w:tcPr>
          <w:p w:rsidR="000D3C76" w:rsidRDefault="000D3C76" w:rsidP="000D3C76">
            <w:r>
              <w:t>10:00 – 10:15</w:t>
            </w:r>
          </w:p>
        </w:tc>
        <w:tc>
          <w:tcPr>
            <w:tcW w:w="7421" w:type="dxa"/>
          </w:tcPr>
          <w:p w:rsidR="000D3C76" w:rsidRDefault="000D3C76" w:rsidP="000D3C76">
            <w:r>
              <w:t>Introductions</w:t>
            </w:r>
          </w:p>
        </w:tc>
      </w:tr>
      <w:tr w:rsidR="000D3C76" w:rsidTr="000D3C76">
        <w:trPr>
          <w:trHeight w:val="269"/>
        </w:trPr>
        <w:tc>
          <w:tcPr>
            <w:tcW w:w="2172" w:type="dxa"/>
          </w:tcPr>
          <w:p w:rsidR="000D3C76" w:rsidRDefault="000D3C76" w:rsidP="000D3C76">
            <w:r>
              <w:t>10:15 – 10:30</w:t>
            </w:r>
          </w:p>
        </w:tc>
        <w:tc>
          <w:tcPr>
            <w:tcW w:w="7421" w:type="dxa"/>
          </w:tcPr>
          <w:p w:rsidR="000D3C76" w:rsidRDefault="000D3C76" w:rsidP="000D3C76">
            <w:r>
              <w:t>Feedback from Stakeholder Process Webinar</w:t>
            </w:r>
          </w:p>
        </w:tc>
      </w:tr>
      <w:tr w:rsidR="000D3C76" w:rsidTr="000D3C76">
        <w:trPr>
          <w:trHeight w:val="278"/>
        </w:trPr>
        <w:tc>
          <w:tcPr>
            <w:tcW w:w="2172" w:type="dxa"/>
          </w:tcPr>
          <w:p w:rsidR="000D3C76" w:rsidRDefault="000D3C76" w:rsidP="000D3C76">
            <w:r>
              <w:t>10:30 – 10:45</w:t>
            </w:r>
          </w:p>
        </w:tc>
        <w:tc>
          <w:tcPr>
            <w:tcW w:w="7421" w:type="dxa"/>
          </w:tcPr>
          <w:p w:rsidR="000D3C76" w:rsidRDefault="000D3C76" w:rsidP="000D3C76">
            <w:r>
              <w:t>Update on Stakeholder Engagement Conferences</w:t>
            </w:r>
          </w:p>
        </w:tc>
      </w:tr>
      <w:tr w:rsidR="000D3C76" w:rsidTr="000D3C76">
        <w:trPr>
          <w:trHeight w:val="262"/>
        </w:trPr>
        <w:tc>
          <w:tcPr>
            <w:tcW w:w="2172" w:type="dxa"/>
          </w:tcPr>
          <w:p w:rsidR="000D3C76" w:rsidRDefault="000D3C76" w:rsidP="000D3C76">
            <w:r>
              <w:t>10:45 – 11:30</w:t>
            </w:r>
          </w:p>
        </w:tc>
        <w:tc>
          <w:tcPr>
            <w:tcW w:w="7421" w:type="dxa"/>
          </w:tcPr>
          <w:p w:rsidR="000D3C76" w:rsidRDefault="000D3C76" w:rsidP="000D3C76">
            <w:r>
              <w:t>Status of Distribution System Planning Engagement Group</w:t>
            </w:r>
          </w:p>
        </w:tc>
      </w:tr>
      <w:tr w:rsidR="000D3C76" w:rsidTr="000D3C76">
        <w:trPr>
          <w:trHeight w:val="72"/>
        </w:trPr>
        <w:tc>
          <w:tcPr>
            <w:tcW w:w="2172" w:type="dxa"/>
          </w:tcPr>
          <w:p w:rsidR="000D3C76" w:rsidRDefault="000D3C76" w:rsidP="000D3C76">
            <w:r>
              <w:t>11:30 – 12:15</w:t>
            </w:r>
          </w:p>
        </w:tc>
        <w:tc>
          <w:tcPr>
            <w:tcW w:w="7421" w:type="dxa"/>
          </w:tcPr>
          <w:p w:rsidR="000D3C76" w:rsidRDefault="000D3C76" w:rsidP="000D3C76">
            <w:r>
              <w:t xml:space="preserve">Status of Grid Operations Engagement Group </w:t>
            </w:r>
          </w:p>
        </w:tc>
      </w:tr>
      <w:tr w:rsidR="000D3C76" w:rsidTr="000D3C76">
        <w:trPr>
          <w:trHeight w:val="72"/>
        </w:trPr>
        <w:tc>
          <w:tcPr>
            <w:tcW w:w="2172" w:type="dxa"/>
          </w:tcPr>
          <w:p w:rsidR="000D3C76" w:rsidRDefault="000D3C76" w:rsidP="000D3C76">
            <w:r>
              <w:t>12:15 – 1:00</w:t>
            </w:r>
          </w:p>
        </w:tc>
        <w:tc>
          <w:tcPr>
            <w:tcW w:w="7421" w:type="dxa"/>
          </w:tcPr>
          <w:p w:rsidR="000D3C76" w:rsidRDefault="000D3C76" w:rsidP="000D3C76">
            <w:r>
              <w:t>Lunch</w:t>
            </w:r>
          </w:p>
        </w:tc>
      </w:tr>
      <w:tr w:rsidR="000D3C76" w:rsidTr="000D3C76">
        <w:trPr>
          <w:trHeight w:val="72"/>
        </w:trPr>
        <w:tc>
          <w:tcPr>
            <w:tcW w:w="2172" w:type="dxa"/>
          </w:tcPr>
          <w:p w:rsidR="000D3C76" w:rsidRDefault="000D3C76" w:rsidP="000D3C76">
            <w:r>
              <w:t>1:00 – 1:30</w:t>
            </w:r>
          </w:p>
        </w:tc>
        <w:tc>
          <w:tcPr>
            <w:tcW w:w="7421" w:type="dxa"/>
          </w:tcPr>
          <w:p w:rsidR="000D3C76" w:rsidRDefault="000D3C76" w:rsidP="000D3C76">
            <w:r>
              <w:t>Feedback &amp; Status of Market Operations Engagement Group</w:t>
            </w:r>
          </w:p>
        </w:tc>
      </w:tr>
      <w:tr w:rsidR="000D3C76" w:rsidTr="000D3C76">
        <w:trPr>
          <w:trHeight w:val="72"/>
        </w:trPr>
        <w:tc>
          <w:tcPr>
            <w:tcW w:w="2172" w:type="dxa"/>
          </w:tcPr>
          <w:p w:rsidR="000D3C76" w:rsidRDefault="000D3C76" w:rsidP="000D3C76">
            <w:r>
              <w:t>1:30 – 2:15</w:t>
            </w:r>
          </w:p>
        </w:tc>
        <w:tc>
          <w:tcPr>
            <w:tcW w:w="7421" w:type="dxa"/>
          </w:tcPr>
          <w:p w:rsidR="000D3C76" w:rsidRDefault="000D3C76" w:rsidP="000D3C76">
            <w:r>
              <w:t>DER Sourcing – Procurement Discussion</w:t>
            </w:r>
          </w:p>
        </w:tc>
      </w:tr>
      <w:tr w:rsidR="000D3C76" w:rsidTr="000D3C76">
        <w:trPr>
          <w:trHeight w:val="72"/>
        </w:trPr>
        <w:tc>
          <w:tcPr>
            <w:tcW w:w="2172" w:type="dxa"/>
          </w:tcPr>
          <w:p w:rsidR="000D3C76" w:rsidRDefault="000D3C76" w:rsidP="000D3C76">
            <w:r>
              <w:t>2:15 – 2:45</w:t>
            </w:r>
          </w:p>
        </w:tc>
        <w:tc>
          <w:tcPr>
            <w:tcW w:w="7421" w:type="dxa"/>
          </w:tcPr>
          <w:p w:rsidR="000D3C76" w:rsidRDefault="000D3C76" w:rsidP="000D3C76">
            <w:r>
              <w:t>Granular Pricing Update</w:t>
            </w:r>
          </w:p>
        </w:tc>
      </w:tr>
      <w:tr w:rsidR="000D3C76" w:rsidTr="000D3C76">
        <w:trPr>
          <w:trHeight w:val="72"/>
        </w:trPr>
        <w:tc>
          <w:tcPr>
            <w:tcW w:w="2172" w:type="dxa"/>
          </w:tcPr>
          <w:p w:rsidR="000D3C76" w:rsidRDefault="000D3C76" w:rsidP="000D3C76">
            <w:r>
              <w:t>2:45 – 3:00</w:t>
            </w:r>
          </w:p>
        </w:tc>
        <w:tc>
          <w:tcPr>
            <w:tcW w:w="7421" w:type="dxa"/>
          </w:tcPr>
          <w:p w:rsidR="000D3C76" w:rsidRDefault="000D3C76" w:rsidP="000D3C76">
            <w:r>
              <w:t>Summary and Next Steps</w:t>
            </w:r>
          </w:p>
        </w:tc>
      </w:tr>
    </w:tbl>
    <w:p w:rsidR="00D01072" w:rsidRDefault="00D01072" w:rsidP="00D01072">
      <w:pPr>
        <w:spacing w:after="0"/>
      </w:pPr>
    </w:p>
    <w:p w:rsidR="00583241" w:rsidRDefault="000D3C76" w:rsidP="000D3C76">
      <w:pPr>
        <w:pStyle w:val="Heading1"/>
      </w:pPr>
      <w:r>
        <w:t>Key Discussion Points</w:t>
      </w:r>
    </w:p>
    <w:p w:rsidR="00E527B3" w:rsidRDefault="00E03356" w:rsidP="00E03356">
      <w:pPr>
        <w:pStyle w:val="ListParagraph"/>
        <w:numPr>
          <w:ilvl w:val="0"/>
          <w:numId w:val="22"/>
        </w:numPr>
        <w:spacing w:after="0"/>
      </w:pPr>
      <w:r>
        <w:t>The Stakeholder</w:t>
      </w:r>
      <w:r w:rsidR="001F125A">
        <w:t xml:space="preserve"> Engagement</w:t>
      </w:r>
      <w:r>
        <w:t xml:space="preserve"> Process Webinar received positive feedback and encouraged additional companies to participate in the process</w:t>
      </w:r>
    </w:p>
    <w:p w:rsidR="003A10D2" w:rsidRPr="00845B63" w:rsidRDefault="001F125A" w:rsidP="00553991">
      <w:pPr>
        <w:pStyle w:val="ListParagraph"/>
        <w:numPr>
          <w:ilvl w:val="0"/>
          <w:numId w:val="3"/>
        </w:numPr>
        <w:spacing w:after="0"/>
      </w:pPr>
      <w:r w:rsidRPr="00845B63">
        <w:t xml:space="preserve"> </w:t>
      </w:r>
      <w:r w:rsidR="003A10D2" w:rsidRPr="00845B63">
        <w:t xml:space="preserve">‘Technical conferences’ will now be called ‘stakeholder engagement conferences’ per the recommendation of the </w:t>
      </w:r>
      <w:r>
        <w:t>AG</w:t>
      </w:r>
    </w:p>
    <w:p w:rsidR="00F731BA" w:rsidRDefault="003A10D2" w:rsidP="003A10D2">
      <w:pPr>
        <w:pStyle w:val="Header"/>
        <w:numPr>
          <w:ilvl w:val="0"/>
          <w:numId w:val="3"/>
        </w:numPr>
        <w:spacing w:line="259" w:lineRule="auto"/>
      </w:pPr>
      <w:r>
        <w:t>Stakeholder engagement conference sessions will be open, noticed to the full service list</w:t>
      </w:r>
      <w:r w:rsidR="00F731BA">
        <w:t xml:space="preserve"> and</w:t>
      </w:r>
      <w:r w:rsidR="00C111EC">
        <w:t xml:space="preserve"> stakeholders currently involved</w:t>
      </w:r>
      <w:r>
        <w:t xml:space="preserve">, </w:t>
      </w:r>
      <w:r w:rsidRPr="007D52B6">
        <w:t xml:space="preserve">and will not be subject to </w:t>
      </w:r>
      <w:r w:rsidR="00F731BA">
        <w:t>‘</w:t>
      </w:r>
      <w:r w:rsidRPr="007D52B6">
        <w:t>Chatham House</w:t>
      </w:r>
      <w:r w:rsidR="00F731BA">
        <w:t>’</w:t>
      </w:r>
      <w:r w:rsidRPr="007D52B6">
        <w:t xml:space="preserve"> rules. </w:t>
      </w:r>
      <w:r>
        <w:t xml:space="preserve">The intent of the sessions </w:t>
      </w:r>
      <w:r w:rsidR="00F731BA">
        <w:t>will be t</w:t>
      </w:r>
      <w:r>
        <w:t xml:space="preserve">o share the discussion of the EGs thus far and provide the opportunity for further input from stakeholders. </w:t>
      </w:r>
      <w:r w:rsidRPr="007D52B6">
        <w:t>Participants will be invited to submit comments and questions before, during, and after the session.</w:t>
      </w:r>
      <w:r>
        <w:t xml:space="preserve"> </w:t>
      </w:r>
    </w:p>
    <w:p w:rsidR="003A10D2" w:rsidRPr="007D52B6" w:rsidRDefault="00F731BA" w:rsidP="00F731BA">
      <w:pPr>
        <w:pStyle w:val="Header"/>
        <w:numPr>
          <w:ilvl w:val="1"/>
          <w:numId w:val="3"/>
        </w:numPr>
        <w:spacing w:line="259" w:lineRule="auto"/>
      </w:pPr>
      <w:r w:rsidRPr="007D52B6">
        <w:t>The JU will record the Webinar portion and can use or summarize any submitted comments or questions in the</w:t>
      </w:r>
      <w:r>
        <w:t xml:space="preserve"> sDSIP</w:t>
      </w:r>
      <w:r w:rsidRPr="007D52B6">
        <w:t xml:space="preserve"> filing.  </w:t>
      </w:r>
    </w:p>
    <w:p w:rsidR="001F125A" w:rsidRDefault="001F125A" w:rsidP="001F125A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Engagement Groups will now be more open to the public with the opportunity for one person per company to attend in person (25-30 in person total) and one to attend over the phone. </w:t>
      </w:r>
    </w:p>
    <w:p w:rsidR="00F731BA" w:rsidRDefault="00F731BA" w:rsidP="00F731BA">
      <w:pPr>
        <w:pStyle w:val="ListParagraph"/>
        <w:numPr>
          <w:ilvl w:val="0"/>
          <w:numId w:val="3"/>
        </w:numPr>
        <w:spacing w:after="0"/>
      </w:pPr>
      <w:r>
        <w:t xml:space="preserve">All EG presentation material will be considered public, denoted with </w:t>
      </w:r>
      <w:r w:rsidRPr="00845B63">
        <w:t>version history</w:t>
      </w:r>
      <w:r>
        <w:t xml:space="preserve"> and date stamps</w:t>
      </w:r>
    </w:p>
    <w:p w:rsidR="00F731BA" w:rsidRDefault="00F731BA" w:rsidP="00F731BA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spacing w:line="259" w:lineRule="auto"/>
      </w:pPr>
      <w:r>
        <w:t>A subset of the Advisory Group met on the 28</w:t>
      </w:r>
      <w:r w:rsidRPr="00AA7158">
        <w:rPr>
          <w:vertAlign w:val="superscript"/>
        </w:rPr>
        <w:t>th</w:t>
      </w:r>
      <w:r>
        <w:t xml:space="preserve"> of June at NYISO to discuss granular pricing. The September stakeholder engagement conference will provide an opportunity for broader stakeholder input</w:t>
      </w:r>
    </w:p>
    <w:p w:rsidR="00F731BA" w:rsidRDefault="00F731BA" w:rsidP="00F731BA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spacing w:line="259" w:lineRule="auto"/>
      </w:pPr>
      <w:r>
        <w:t xml:space="preserve">Summary decks of the EG discussion series were reviewed and approved, with refinements, for both NWA Suitability Criteria and System Data </w:t>
      </w:r>
    </w:p>
    <w:p w:rsidR="003A10D2" w:rsidRDefault="00F731BA" w:rsidP="00845B63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spacing w:line="259" w:lineRule="auto"/>
      </w:pPr>
      <w:r>
        <w:t xml:space="preserve">EGs for </w:t>
      </w:r>
      <w:r w:rsidR="00845B63">
        <w:t xml:space="preserve">Customer Data, </w:t>
      </w:r>
      <w:r w:rsidR="003A10D2">
        <w:t xml:space="preserve">DER </w:t>
      </w:r>
      <w:r>
        <w:t>Sourcing</w:t>
      </w:r>
      <w:r w:rsidR="003A10D2">
        <w:t xml:space="preserve"> (</w:t>
      </w:r>
      <w:r>
        <w:t>Procurement</w:t>
      </w:r>
      <w:r w:rsidR="003A10D2">
        <w:t>)</w:t>
      </w:r>
      <w:r w:rsidR="00845B63">
        <w:t xml:space="preserve"> and Monitoring &amp; Control</w:t>
      </w:r>
      <w:r w:rsidR="003A10D2">
        <w:t xml:space="preserve"> are kicking off</w:t>
      </w:r>
      <w:r w:rsidR="001F125A">
        <w:t xml:space="preserve"> in July</w:t>
      </w:r>
    </w:p>
    <w:p w:rsidR="00AA7158" w:rsidRDefault="00535ED6" w:rsidP="00845B63">
      <w:pPr>
        <w:pStyle w:val="Header"/>
        <w:numPr>
          <w:ilvl w:val="0"/>
          <w:numId w:val="5"/>
        </w:numPr>
        <w:tabs>
          <w:tab w:val="clear" w:pos="4680"/>
          <w:tab w:val="clear" w:pos="9360"/>
        </w:tabs>
        <w:spacing w:line="259" w:lineRule="auto"/>
      </w:pPr>
      <w:r w:rsidRPr="00535ED6">
        <w:t>The AG reviewed and approved the updated</w:t>
      </w:r>
      <w:r w:rsidR="00843CB9" w:rsidRPr="00535ED6">
        <w:t xml:space="preserve"> charter for ISO/DSP </w:t>
      </w:r>
      <w:r w:rsidR="00DA294A" w:rsidRPr="00535ED6">
        <w:t xml:space="preserve">Coordination of </w:t>
      </w:r>
      <w:r w:rsidR="00843CB9" w:rsidRPr="00535ED6">
        <w:t>Roles &amp; Responsibilities</w:t>
      </w:r>
      <w:r w:rsidR="00845B63">
        <w:t xml:space="preserve"> and Electric Vehicle Supply Equipment (EVSE)</w:t>
      </w:r>
      <w:r w:rsidR="00F731BA">
        <w:t>,</w:t>
      </w:r>
      <w:r w:rsidRPr="00535ED6">
        <w:t xml:space="preserve"> upon pending refinements</w:t>
      </w:r>
    </w:p>
    <w:p w:rsidR="00F731BA" w:rsidRDefault="00F731BA" w:rsidP="00F731BA">
      <w:pPr>
        <w:pStyle w:val="Header"/>
        <w:numPr>
          <w:ilvl w:val="0"/>
          <w:numId w:val="5"/>
        </w:numPr>
        <w:tabs>
          <w:tab w:val="clear" w:pos="4680"/>
          <w:tab w:val="clear" w:pos="9360"/>
        </w:tabs>
        <w:spacing w:line="259" w:lineRule="auto"/>
      </w:pPr>
      <w:r>
        <w:t xml:space="preserve">California is having similar discussions in </w:t>
      </w:r>
      <w:r w:rsidR="00926D1E">
        <w:t>parallel</w:t>
      </w:r>
      <w:r>
        <w:t xml:space="preserve"> on Hosting Capacity. The </w:t>
      </w:r>
      <w:hyperlink r:id="rId10" w:history="1">
        <w:r w:rsidRPr="004C54BD">
          <w:rPr>
            <w:rStyle w:val="Hyperlink"/>
          </w:rPr>
          <w:t>www.drpwg.org</w:t>
        </w:r>
      </w:hyperlink>
      <w:r>
        <w:t xml:space="preserve"> website contains more information regarding ICA WG (hosting capacity equivalence) and IDER WG (competitive solicitations equivalent)</w:t>
      </w:r>
    </w:p>
    <w:p w:rsidR="00F731BA" w:rsidRDefault="00F731BA" w:rsidP="00F731BA">
      <w:pPr>
        <w:pStyle w:val="Header"/>
        <w:tabs>
          <w:tab w:val="clear" w:pos="4680"/>
          <w:tab w:val="clear" w:pos="9360"/>
        </w:tabs>
        <w:spacing w:line="259" w:lineRule="auto"/>
        <w:ind w:left="720"/>
      </w:pPr>
    </w:p>
    <w:p w:rsidR="00E66D08" w:rsidRDefault="006B260F" w:rsidP="006B260F">
      <w:pPr>
        <w:pStyle w:val="Heading1"/>
      </w:pPr>
      <w:r>
        <w:t>Action Items</w:t>
      </w:r>
    </w:p>
    <w:p w:rsidR="006B260F" w:rsidRDefault="006B260F" w:rsidP="00E842CB">
      <w:pPr>
        <w:pStyle w:val="Header"/>
        <w:numPr>
          <w:ilvl w:val="0"/>
          <w:numId w:val="9"/>
        </w:numPr>
        <w:tabs>
          <w:tab w:val="clear" w:pos="4680"/>
          <w:tab w:val="clear" w:pos="9360"/>
        </w:tabs>
        <w:spacing w:line="259" w:lineRule="auto"/>
      </w:pPr>
      <w:r>
        <w:t xml:space="preserve">The EPRI report on hosting capacity </w:t>
      </w:r>
      <w:r w:rsidR="001F125A">
        <w:t>will be</w:t>
      </w:r>
      <w:r>
        <w:t xml:space="preserve"> posted on the website and circulated</w:t>
      </w:r>
    </w:p>
    <w:p w:rsidR="00F731BA" w:rsidRPr="00F731BA" w:rsidRDefault="0073558C" w:rsidP="00F731BA">
      <w:pPr>
        <w:pStyle w:val="Header"/>
        <w:numPr>
          <w:ilvl w:val="1"/>
          <w:numId w:val="9"/>
        </w:numPr>
        <w:tabs>
          <w:tab w:val="clear" w:pos="4680"/>
          <w:tab w:val="clear" w:pos="9360"/>
        </w:tabs>
        <w:spacing w:line="259" w:lineRule="auto"/>
      </w:pPr>
      <w:hyperlink r:id="rId11" w:history="1">
        <w:r w:rsidR="00F731BA" w:rsidRPr="00F731BA">
          <w:rPr>
            <w:rStyle w:val="Hyperlink"/>
            <w:rFonts w:cs="Helvetica"/>
            <w:i/>
            <w:iCs/>
          </w:rPr>
          <w:t>Defining a Roadmap for Successful Implementation of a Hosting Capacity Method for New York State</w:t>
        </w:r>
      </w:hyperlink>
      <w:r w:rsidR="00F731BA" w:rsidRPr="00F731BA">
        <w:rPr>
          <w:rFonts w:cs="Helvetica"/>
          <w:color w:val="000000"/>
        </w:rPr>
        <w:t>. EPRI, Palo, Alto: 2016: 3002008848</w:t>
      </w:r>
    </w:p>
    <w:p w:rsidR="001F125A" w:rsidRDefault="001F125A" w:rsidP="001F125A">
      <w:pPr>
        <w:pStyle w:val="Header"/>
        <w:numPr>
          <w:ilvl w:val="0"/>
          <w:numId w:val="9"/>
        </w:numPr>
        <w:tabs>
          <w:tab w:val="clear" w:pos="4680"/>
          <w:tab w:val="clear" w:pos="9360"/>
        </w:tabs>
        <w:spacing w:line="259" w:lineRule="auto"/>
      </w:pPr>
      <w:r>
        <w:t>The next Advisory Group meeting will be August 10</w:t>
      </w:r>
      <w:r w:rsidRPr="006B260F">
        <w:rPr>
          <w:vertAlign w:val="superscript"/>
        </w:rPr>
        <w:t>th</w:t>
      </w:r>
      <w:r>
        <w:t xml:space="preserve"> in NYC. Agenda items on the 10</w:t>
      </w:r>
      <w:r w:rsidRPr="006B260F">
        <w:rPr>
          <w:vertAlign w:val="superscript"/>
        </w:rPr>
        <w:t>th</w:t>
      </w:r>
      <w:r>
        <w:t xml:space="preserve"> will include:</w:t>
      </w:r>
    </w:p>
    <w:p w:rsidR="001F125A" w:rsidRDefault="001F125A" w:rsidP="001F125A">
      <w:pPr>
        <w:pStyle w:val="Header"/>
        <w:numPr>
          <w:ilvl w:val="1"/>
          <w:numId w:val="9"/>
        </w:numPr>
        <w:tabs>
          <w:tab w:val="clear" w:pos="4680"/>
          <w:tab w:val="clear" w:pos="9360"/>
        </w:tabs>
        <w:spacing w:line="259" w:lineRule="auto"/>
      </w:pPr>
      <w:r>
        <w:t xml:space="preserve">Feedback on the July stakeholder engagement webinar </w:t>
      </w:r>
    </w:p>
    <w:p w:rsidR="001F125A" w:rsidRDefault="001F125A" w:rsidP="001F125A">
      <w:pPr>
        <w:pStyle w:val="Header"/>
        <w:numPr>
          <w:ilvl w:val="1"/>
          <w:numId w:val="9"/>
        </w:numPr>
        <w:tabs>
          <w:tab w:val="clear" w:pos="4680"/>
          <w:tab w:val="clear" w:pos="9360"/>
        </w:tabs>
        <w:spacing w:line="259" w:lineRule="auto"/>
      </w:pPr>
      <w:r>
        <w:t>Update on Engagement Groups</w:t>
      </w:r>
    </w:p>
    <w:p w:rsidR="001F125A" w:rsidRDefault="001F125A" w:rsidP="001F125A">
      <w:pPr>
        <w:pStyle w:val="Header"/>
        <w:numPr>
          <w:ilvl w:val="1"/>
          <w:numId w:val="9"/>
        </w:numPr>
        <w:tabs>
          <w:tab w:val="clear" w:pos="4680"/>
          <w:tab w:val="clear" w:pos="9360"/>
        </w:tabs>
        <w:spacing w:line="259" w:lineRule="auto"/>
      </w:pPr>
      <w:r>
        <w:t xml:space="preserve">Intersection &amp; Coordination between </w:t>
      </w:r>
      <w:r w:rsidR="000457A2">
        <w:t xml:space="preserve">sDSIP efforts and the </w:t>
      </w:r>
      <w:r w:rsidRPr="00845B63">
        <w:t xml:space="preserve">Interconnection </w:t>
      </w:r>
      <w:r>
        <w:t xml:space="preserve">Technical Working </w:t>
      </w:r>
      <w:r w:rsidRPr="00845B63">
        <w:t>Group</w:t>
      </w:r>
      <w:r w:rsidR="000457A2">
        <w:t xml:space="preserve"> (ITWG)</w:t>
      </w:r>
      <w:bookmarkStart w:id="0" w:name="_GoBack"/>
      <w:bookmarkEnd w:id="0"/>
    </w:p>
    <w:sectPr w:rsidR="001F125A" w:rsidSect="00E527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8C" w:rsidRDefault="0073558C" w:rsidP="00583241">
      <w:pPr>
        <w:spacing w:after="0" w:line="240" w:lineRule="auto"/>
      </w:pPr>
      <w:r>
        <w:separator/>
      </w:r>
    </w:p>
  </w:endnote>
  <w:endnote w:type="continuationSeparator" w:id="0">
    <w:p w:rsidR="0073558C" w:rsidRDefault="0073558C" w:rsidP="0058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669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3C76" w:rsidRDefault="000D3C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7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3C76" w:rsidRDefault="000D3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8C" w:rsidRDefault="0073558C" w:rsidP="00583241">
      <w:pPr>
        <w:spacing w:after="0" w:line="240" w:lineRule="auto"/>
      </w:pPr>
      <w:r>
        <w:separator/>
      </w:r>
    </w:p>
  </w:footnote>
  <w:footnote w:type="continuationSeparator" w:id="0">
    <w:p w:rsidR="0073558C" w:rsidRDefault="0073558C" w:rsidP="0058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DF" w:rsidRDefault="00E25CDF" w:rsidP="00E25CDF">
    <w:pPr>
      <w:pStyle w:val="Header"/>
      <w:rPr>
        <w:i/>
        <w:color w:val="002060"/>
      </w:rPr>
    </w:pPr>
    <w:r w:rsidRPr="4D7FCC7A">
      <w:rPr>
        <w:i/>
        <w:iCs/>
        <w:color w:val="002060"/>
      </w:rPr>
      <w:t>JU of NY Advisory Group Meeti</w:t>
    </w:r>
    <w:r>
      <w:rPr>
        <w:i/>
        <w:iCs/>
        <w:color w:val="002060"/>
      </w:rPr>
      <w:t>ng…………………………………………………………………………………</w:t>
    </w:r>
    <w:r w:rsidRPr="4D7FCC7A">
      <w:rPr>
        <w:i/>
        <w:iCs/>
        <w:color w:val="002060"/>
      </w:rPr>
      <w:t>…....</w:t>
    </w:r>
    <w:r>
      <w:rPr>
        <w:i/>
        <w:iCs/>
        <w:color w:val="002060"/>
      </w:rPr>
      <w:t>July 12</w:t>
    </w:r>
    <w:r w:rsidRPr="00E25CDF">
      <w:rPr>
        <w:i/>
        <w:iCs/>
        <w:color w:val="002060"/>
        <w:vertAlign w:val="superscript"/>
      </w:rPr>
      <w:t>th</w:t>
    </w:r>
    <w:r w:rsidRPr="4D7FCC7A">
      <w:rPr>
        <w:i/>
        <w:iCs/>
        <w:color w:val="002060"/>
      </w:rPr>
      <w:t>, 2016</w:t>
    </w:r>
  </w:p>
  <w:p w:rsidR="000D3C76" w:rsidRPr="00E25CDF" w:rsidRDefault="00E25CDF" w:rsidP="00E25CDF">
    <w:pPr>
      <w:pStyle w:val="Header"/>
      <w:jc w:val="center"/>
      <w:rPr>
        <w:i/>
        <w:color w:val="002060"/>
      </w:rPr>
    </w:pPr>
    <w:r>
      <w:rPr>
        <w:i/>
        <w:iCs/>
        <w:color w:val="002060"/>
      </w:rPr>
      <w:t>Con Edison – NYC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094"/>
    <w:multiLevelType w:val="hybridMultilevel"/>
    <w:tmpl w:val="B508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3FAA"/>
    <w:multiLevelType w:val="hybridMultilevel"/>
    <w:tmpl w:val="377E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34A0"/>
    <w:multiLevelType w:val="hybridMultilevel"/>
    <w:tmpl w:val="E516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2776F"/>
    <w:multiLevelType w:val="hybridMultilevel"/>
    <w:tmpl w:val="6A40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91CF2"/>
    <w:multiLevelType w:val="hybridMultilevel"/>
    <w:tmpl w:val="373A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627E"/>
    <w:multiLevelType w:val="hybridMultilevel"/>
    <w:tmpl w:val="7068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7123D"/>
    <w:multiLevelType w:val="hybridMultilevel"/>
    <w:tmpl w:val="AE72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01BEA"/>
    <w:multiLevelType w:val="hybridMultilevel"/>
    <w:tmpl w:val="4A563D96"/>
    <w:lvl w:ilvl="0" w:tplc="0158F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69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CE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EB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E1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2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C6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43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63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6B2D43"/>
    <w:multiLevelType w:val="hybridMultilevel"/>
    <w:tmpl w:val="3260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E1B10"/>
    <w:multiLevelType w:val="hybridMultilevel"/>
    <w:tmpl w:val="F01E6D8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2F965BDC"/>
    <w:multiLevelType w:val="hybridMultilevel"/>
    <w:tmpl w:val="9DC4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06F66"/>
    <w:multiLevelType w:val="hybridMultilevel"/>
    <w:tmpl w:val="D4F6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62CD1"/>
    <w:multiLevelType w:val="hybridMultilevel"/>
    <w:tmpl w:val="0432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214E0"/>
    <w:multiLevelType w:val="hybridMultilevel"/>
    <w:tmpl w:val="552C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D1E12"/>
    <w:multiLevelType w:val="hybridMultilevel"/>
    <w:tmpl w:val="ADA4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735F1"/>
    <w:multiLevelType w:val="hybridMultilevel"/>
    <w:tmpl w:val="5B44A778"/>
    <w:lvl w:ilvl="0" w:tplc="4ED82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8F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8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6F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6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A3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66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08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A3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641677"/>
    <w:multiLevelType w:val="hybridMultilevel"/>
    <w:tmpl w:val="169C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2645F"/>
    <w:multiLevelType w:val="hybridMultilevel"/>
    <w:tmpl w:val="CF10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7C6C"/>
    <w:multiLevelType w:val="hybridMultilevel"/>
    <w:tmpl w:val="805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22CF5"/>
    <w:multiLevelType w:val="hybridMultilevel"/>
    <w:tmpl w:val="DAD8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E62D2"/>
    <w:multiLevelType w:val="hybridMultilevel"/>
    <w:tmpl w:val="3248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93E02"/>
    <w:multiLevelType w:val="hybridMultilevel"/>
    <w:tmpl w:val="2C48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5"/>
  </w:num>
  <w:num w:numId="5">
    <w:abstractNumId w:val="18"/>
  </w:num>
  <w:num w:numId="6">
    <w:abstractNumId w:val="7"/>
  </w:num>
  <w:num w:numId="7">
    <w:abstractNumId w:val="16"/>
  </w:num>
  <w:num w:numId="8">
    <w:abstractNumId w:val="13"/>
  </w:num>
  <w:num w:numId="9">
    <w:abstractNumId w:val="4"/>
  </w:num>
  <w:num w:numId="10">
    <w:abstractNumId w:val="1"/>
  </w:num>
  <w:num w:numId="11">
    <w:abstractNumId w:val="12"/>
  </w:num>
  <w:num w:numId="12">
    <w:abstractNumId w:val="5"/>
  </w:num>
  <w:num w:numId="13">
    <w:abstractNumId w:val="9"/>
  </w:num>
  <w:num w:numId="14">
    <w:abstractNumId w:val="8"/>
  </w:num>
  <w:num w:numId="15">
    <w:abstractNumId w:val="11"/>
  </w:num>
  <w:num w:numId="16">
    <w:abstractNumId w:val="2"/>
  </w:num>
  <w:num w:numId="17">
    <w:abstractNumId w:val="20"/>
  </w:num>
  <w:num w:numId="18">
    <w:abstractNumId w:val="14"/>
  </w:num>
  <w:num w:numId="19">
    <w:abstractNumId w:val="10"/>
  </w:num>
  <w:num w:numId="20">
    <w:abstractNumId w:val="21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41"/>
    <w:rsid w:val="00003280"/>
    <w:rsid w:val="000169F5"/>
    <w:rsid w:val="000457A2"/>
    <w:rsid w:val="0005709A"/>
    <w:rsid w:val="00061AE8"/>
    <w:rsid w:val="000A3F32"/>
    <w:rsid w:val="000B3ABB"/>
    <w:rsid w:val="000D3C76"/>
    <w:rsid w:val="000E3AD9"/>
    <w:rsid w:val="001152A9"/>
    <w:rsid w:val="00116895"/>
    <w:rsid w:val="001420E4"/>
    <w:rsid w:val="00151735"/>
    <w:rsid w:val="0018374A"/>
    <w:rsid w:val="001C7304"/>
    <w:rsid w:val="001D45B0"/>
    <w:rsid w:val="001F125A"/>
    <w:rsid w:val="00247BB5"/>
    <w:rsid w:val="002560CE"/>
    <w:rsid w:val="00256983"/>
    <w:rsid w:val="002C1C85"/>
    <w:rsid w:val="002E4C03"/>
    <w:rsid w:val="00301CB0"/>
    <w:rsid w:val="00310361"/>
    <w:rsid w:val="003A10D2"/>
    <w:rsid w:val="003D43F5"/>
    <w:rsid w:val="00463096"/>
    <w:rsid w:val="004967F5"/>
    <w:rsid w:val="004B0971"/>
    <w:rsid w:val="00517C87"/>
    <w:rsid w:val="00535ED6"/>
    <w:rsid w:val="0056107A"/>
    <w:rsid w:val="00583241"/>
    <w:rsid w:val="00584310"/>
    <w:rsid w:val="0059101A"/>
    <w:rsid w:val="005F5D2E"/>
    <w:rsid w:val="00644F57"/>
    <w:rsid w:val="00652B6B"/>
    <w:rsid w:val="006B260F"/>
    <w:rsid w:val="006B3742"/>
    <w:rsid w:val="006C1774"/>
    <w:rsid w:val="006E0D55"/>
    <w:rsid w:val="0070322C"/>
    <w:rsid w:val="007167B1"/>
    <w:rsid w:val="00734BA8"/>
    <w:rsid w:val="0073558C"/>
    <w:rsid w:val="00763B89"/>
    <w:rsid w:val="007A4F01"/>
    <w:rsid w:val="007D52B6"/>
    <w:rsid w:val="007E4BB0"/>
    <w:rsid w:val="007E72C3"/>
    <w:rsid w:val="00821843"/>
    <w:rsid w:val="0082591F"/>
    <w:rsid w:val="00843CB9"/>
    <w:rsid w:val="00845B63"/>
    <w:rsid w:val="00860C6D"/>
    <w:rsid w:val="00897523"/>
    <w:rsid w:val="008F781F"/>
    <w:rsid w:val="00916274"/>
    <w:rsid w:val="00924DB7"/>
    <w:rsid w:val="00926D1E"/>
    <w:rsid w:val="00931AAD"/>
    <w:rsid w:val="00985401"/>
    <w:rsid w:val="009E4134"/>
    <w:rsid w:val="00A11C36"/>
    <w:rsid w:val="00A31422"/>
    <w:rsid w:val="00A664B9"/>
    <w:rsid w:val="00A73D55"/>
    <w:rsid w:val="00AA7158"/>
    <w:rsid w:val="00B4229A"/>
    <w:rsid w:val="00B42655"/>
    <w:rsid w:val="00B67F77"/>
    <w:rsid w:val="00B873F0"/>
    <w:rsid w:val="00C111EC"/>
    <w:rsid w:val="00C12553"/>
    <w:rsid w:val="00C64AEF"/>
    <w:rsid w:val="00C748D3"/>
    <w:rsid w:val="00CC5E6E"/>
    <w:rsid w:val="00CE6D7C"/>
    <w:rsid w:val="00D01072"/>
    <w:rsid w:val="00D24F0F"/>
    <w:rsid w:val="00D93D12"/>
    <w:rsid w:val="00D94D7B"/>
    <w:rsid w:val="00DA294A"/>
    <w:rsid w:val="00DF14D9"/>
    <w:rsid w:val="00E00FFE"/>
    <w:rsid w:val="00E03356"/>
    <w:rsid w:val="00E25CDF"/>
    <w:rsid w:val="00E527B3"/>
    <w:rsid w:val="00E573F7"/>
    <w:rsid w:val="00E66D08"/>
    <w:rsid w:val="00E7485F"/>
    <w:rsid w:val="00E75E0B"/>
    <w:rsid w:val="00E842CB"/>
    <w:rsid w:val="00EC31E4"/>
    <w:rsid w:val="00ED2D28"/>
    <w:rsid w:val="00ED714F"/>
    <w:rsid w:val="00F132A2"/>
    <w:rsid w:val="00F21DBC"/>
    <w:rsid w:val="00F731BA"/>
    <w:rsid w:val="00F846B9"/>
    <w:rsid w:val="00FC5050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BB764-3C8D-4C12-B9AE-BDBFCF6A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6B260F"/>
    <w:pPr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F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7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241"/>
  </w:style>
  <w:style w:type="paragraph" w:styleId="Footer">
    <w:name w:val="footer"/>
    <w:basedOn w:val="Normal"/>
    <w:link w:val="FooterChar"/>
    <w:uiPriority w:val="99"/>
    <w:unhideWhenUsed/>
    <w:rsid w:val="0058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241"/>
  </w:style>
  <w:style w:type="character" w:customStyle="1" w:styleId="Heading1Char">
    <w:name w:val="Heading 1 Char"/>
    <w:basedOn w:val="DefaultParagraphFont"/>
    <w:link w:val="Heading1"/>
    <w:uiPriority w:val="9"/>
    <w:rsid w:val="006B2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832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0F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E413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967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D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731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29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76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79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15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10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08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9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0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6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ri.com/abstracts/Pages/ProductAbstract.aspx?ProductId=0000000030020088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rpwg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6763-6B65-464A-A718-FE4A070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Howley, Annie</dc:creator>
  <cp:keywords/>
  <dc:description/>
  <cp:lastModifiedBy>Howley, Annie</cp:lastModifiedBy>
  <cp:revision>10</cp:revision>
  <dcterms:created xsi:type="dcterms:W3CDTF">2016-08-21T22:04:00Z</dcterms:created>
  <dcterms:modified xsi:type="dcterms:W3CDTF">2016-09-02T16:51:00Z</dcterms:modified>
</cp:coreProperties>
</file>